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D2ED" w14:textId="551781A6" w:rsidR="006B3DEA" w:rsidRPr="006B3DEA" w:rsidRDefault="00AC01B5" w:rsidP="006B3DEA">
      <w:pPr>
        <w:pStyle w:val="Heading1"/>
        <w:shd w:val="clear" w:color="auto" w:fill="005AAA"/>
        <w:spacing w:before="0"/>
        <w:jc w:val="center"/>
        <w:rPr>
          <w:rFonts w:asciiTheme="minorHAnsi" w:eastAsia="Times New Roman" w:hAnsiTheme="minorHAnsi"/>
          <w:color w:val="FFFFFF"/>
          <w:sz w:val="24"/>
          <w:szCs w:val="24"/>
        </w:rPr>
      </w:pPr>
      <w:r w:rsidRPr="006B3DEA">
        <w:rPr>
          <w:rFonts w:asciiTheme="minorHAnsi" w:eastAsia="Times New Roman" w:hAnsiTheme="minorHAnsi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11B5FB8" wp14:editId="723406C2">
            <wp:extent cx="1530096" cy="3535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1090" w14:textId="53F463A3" w:rsidR="006B3DEA" w:rsidRPr="006B3DEA" w:rsidRDefault="006B3DEA" w:rsidP="006B3DEA">
      <w:pPr>
        <w:pStyle w:val="Heading1"/>
        <w:shd w:val="clear" w:color="auto" w:fill="005AAA"/>
        <w:spacing w:before="0"/>
        <w:jc w:val="center"/>
        <w:rPr>
          <w:rFonts w:asciiTheme="minorHAnsi" w:eastAsia="Times New Roman" w:hAnsiTheme="minorHAnsi"/>
          <w:b/>
          <w:color w:val="FFFFFF"/>
          <w:sz w:val="48"/>
          <w:szCs w:val="48"/>
        </w:rPr>
      </w:pPr>
      <w:r w:rsidRPr="006B3DEA">
        <w:rPr>
          <w:rFonts w:asciiTheme="minorHAnsi" w:eastAsia="Times New Roman" w:hAnsiTheme="minorHAnsi"/>
          <w:b/>
          <w:color w:val="FFFFFF"/>
          <w:sz w:val="48"/>
          <w:szCs w:val="48"/>
        </w:rPr>
        <w:t>Steps to Success in GCSE Music</w:t>
      </w:r>
    </w:p>
    <w:p w14:paraId="3BDD6FEF" w14:textId="77777777" w:rsidR="006B3DEA" w:rsidRPr="006B3DEA" w:rsidRDefault="006B3DEA" w:rsidP="006B3DEA"/>
    <w:p w14:paraId="401C3262" w14:textId="619F4013" w:rsidR="006B3DEA" w:rsidRPr="006B3DEA" w:rsidRDefault="006B3DEA" w:rsidP="006B3DEA">
      <w:pPr>
        <w:rPr>
          <w:rFonts w:eastAsia="Times New Roman" w:cs="Times New Roman"/>
        </w:rPr>
      </w:pPr>
      <w:r w:rsidRPr="006B3DEA">
        <w:rPr>
          <w:rFonts w:eastAsia="Times New Roman" w:cs="Times New Roman"/>
          <w:b/>
          <w:bCs/>
          <w:color w:val="000000"/>
          <w:shd w:val="clear" w:color="auto" w:fill="FFFFFF"/>
        </w:rPr>
        <w:t>The Musical Futures approach to connecting theory to practic</w:t>
      </w:r>
      <w:r w:rsidR="00B448D3">
        <w:rPr>
          <w:rFonts w:eastAsia="Times New Roman" w:cs="Times New Roman"/>
          <w:b/>
          <w:bCs/>
          <w:color w:val="000000"/>
          <w:shd w:val="clear" w:color="auto" w:fill="FFFFFF"/>
        </w:rPr>
        <w:t>e with easy steps to success to integrating</w:t>
      </w:r>
      <w:r w:rsidR="00B448D3" w:rsidRPr="006B3DEA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</w:t>
      </w:r>
      <w:r w:rsidRPr="006B3DEA">
        <w:rPr>
          <w:rFonts w:eastAsia="Times New Roman" w:cs="Times New Roman"/>
          <w:b/>
          <w:bCs/>
          <w:color w:val="000000"/>
          <w:shd w:val="clear" w:color="auto" w:fill="FFFFFF"/>
        </w:rPr>
        <w:t>GCSE listening, composing and performing</w:t>
      </w:r>
    </w:p>
    <w:p w14:paraId="1A62616B" w14:textId="77777777" w:rsidR="006B3DEA" w:rsidRPr="006B3DEA" w:rsidRDefault="006B3DEA" w:rsidP="006B3DEA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B3DEA">
        <w:rPr>
          <w:rFonts w:eastAsia="Times New Roman" w:cs="Times New Roman"/>
          <w:b/>
          <w:bCs/>
          <w:color w:val="000000"/>
          <w:sz w:val="28"/>
          <w:szCs w:val="28"/>
        </w:rPr>
        <w:t>Overview</w:t>
      </w:r>
    </w:p>
    <w:p w14:paraId="40ACE55B" w14:textId="77777777" w:rsidR="006B3DEA" w:rsidRPr="006B3DEA" w:rsidRDefault="006B3DEA" w:rsidP="006B3DEA">
      <w:pPr>
        <w:shd w:val="clear" w:color="auto" w:fill="FFFFFF"/>
        <w:rPr>
          <w:rFonts w:cs="Times New Roman"/>
          <w:b/>
          <w:color w:val="000000"/>
        </w:rPr>
      </w:pPr>
    </w:p>
    <w:p w14:paraId="4B401452" w14:textId="528431E3" w:rsidR="006B3DEA" w:rsidRPr="006B3DEA" w:rsidRDefault="006B3DEA" w:rsidP="006B3DEA">
      <w:pPr>
        <w:shd w:val="clear" w:color="auto" w:fill="FFFFFF"/>
        <w:rPr>
          <w:rFonts w:cs="Times New Roman"/>
          <w:b/>
          <w:color w:val="000000"/>
        </w:rPr>
      </w:pPr>
      <w:r w:rsidRPr="006B3DEA">
        <w:rPr>
          <w:rFonts w:cs="Times New Roman"/>
          <w:b/>
          <w:color w:val="000000"/>
        </w:rPr>
        <w:t xml:space="preserve">Our Musical Futures: Steps to Success in GCSE Music full day workshop gives ideas and strategies </w:t>
      </w:r>
      <w:r w:rsidR="00F45534">
        <w:rPr>
          <w:rFonts w:cs="Times New Roman"/>
          <w:b/>
          <w:color w:val="000000"/>
        </w:rPr>
        <w:t>to help students make the transition from KS3 to examination level</w:t>
      </w:r>
      <w:r w:rsidRPr="006B3DEA">
        <w:rPr>
          <w:rFonts w:cs="Times New Roman"/>
          <w:b/>
          <w:color w:val="000000"/>
        </w:rPr>
        <w:t> </w:t>
      </w:r>
      <w:r w:rsidR="00F45534">
        <w:rPr>
          <w:rFonts w:cs="Times New Roman"/>
          <w:b/>
          <w:color w:val="000000"/>
        </w:rPr>
        <w:t xml:space="preserve">successfully by incorporating activities </w:t>
      </w:r>
      <w:r w:rsidRPr="006B3DEA">
        <w:rPr>
          <w:rFonts w:cs="Times New Roman"/>
          <w:b/>
          <w:color w:val="000000"/>
        </w:rPr>
        <w:t>which are both musical and theoretical</w:t>
      </w:r>
      <w:r w:rsidR="00F45534">
        <w:rPr>
          <w:rFonts w:cs="Times New Roman"/>
          <w:b/>
          <w:color w:val="000000"/>
        </w:rPr>
        <w:t xml:space="preserve"> in your teaching</w:t>
      </w:r>
      <w:bookmarkStart w:id="0" w:name="_GoBack"/>
      <w:bookmarkEnd w:id="0"/>
      <w:r w:rsidRPr="006B3DEA">
        <w:rPr>
          <w:rFonts w:cs="Times New Roman"/>
          <w:b/>
          <w:color w:val="000000"/>
        </w:rPr>
        <w:t>.  </w:t>
      </w:r>
    </w:p>
    <w:p w14:paraId="43E7A5BB" w14:textId="77777777" w:rsidR="006B3DEA" w:rsidRPr="006B3DEA" w:rsidRDefault="006B3DEA" w:rsidP="006B3DEA">
      <w:pPr>
        <w:shd w:val="clear" w:color="auto" w:fill="FFFFFF"/>
        <w:rPr>
          <w:rFonts w:cs="Times New Roman"/>
          <w:b/>
          <w:color w:val="000000"/>
        </w:rPr>
      </w:pPr>
    </w:p>
    <w:p w14:paraId="74586E72" w14:textId="77777777" w:rsidR="006B3DEA" w:rsidRPr="006B3DEA" w:rsidRDefault="006B3DEA" w:rsidP="006B3DEA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Explore practical approaches to the analysis of GCSE music set works and preparation for listening and appraising tasks through workshopping, composing and improvising</w:t>
      </w:r>
    </w:p>
    <w:p w14:paraId="7F91F163" w14:textId="77777777" w:rsidR="006B3DEA" w:rsidRPr="006B3DEA" w:rsidRDefault="006B3DEA" w:rsidP="006B3DEA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Support students to transition successfully from Key Stage 3 (where music frequently has a focus on practical work – to the demands of GCSE music:</w:t>
      </w:r>
    </w:p>
    <w:p w14:paraId="1CE66B69" w14:textId="77777777" w:rsidR="006B3DEA" w:rsidRPr="006B3DEA" w:rsidRDefault="006B3DEA" w:rsidP="006B3DEA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Make GCSE more accessible for all students and specifically those students who may not have come to study GCSE via formal instrumental lessons.</w:t>
      </w:r>
    </w:p>
    <w:p w14:paraId="7FAFC5A6" w14:textId="317D3BD2" w:rsidR="006B3DEA" w:rsidRDefault="006B3DEA" w:rsidP="006B3DEA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Research shows that students are more likely retain the learning if they are actively engaged in the process.</w:t>
      </w:r>
    </w:p>
    <w:p w14:paraId="2C6CA4E2" w14:textId="77777777" w:rsidR="00F45534" w:rsidRPr="00F45534" w:rsidRDefault="00F45534" w:rsidP="00F45534">
      <w:pPr>
        <w:pStyle w:val="ListParagraph"/>
        <w:shd w:val="clear" w:color="auto" w:fill="FFFFFF"/>
        <w:ind w:left="360"/>
        <w:rPr>
          <w:rFonts w:eastAsia="Times New Roman" w:cs="Times New Roman"/>
          <w:color w:val="000000"/>
        </w:rPr>
      </w:pPr>
    </w:p>
    <w:p w14:paraId="7DA8A3A2" w14:textId="77777777" w:rsidR="006B3DEA" w:rsidRPr="006B3DEA" w:rsidRDefault="006B3DEA" w:rsidP="006B3DEA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B3DEA">
        <w:rPr>
          <w:rFonts w:eastAsia="Times New Roman" w:cs="Times New Roman"/>
          <w:b/>
          <w:bCs/>
          <w:color w:val="000000"/>
          <w:sz w:val="28"/>
          <w:szCs w:val="28"/>
        </w:rPr>
        <w:t>Aims of the course</w:t>
      </w:r>
    </w:p>
    <w:p w14:paraId="171FF955" w14:textId="77777777" w:rsidR="006B3DEA" w:rsidRPr="006B3DEA" w:rsidRDefault="006B3DEA" w:rsidP="006B3DEA">
      <w:pPr>
        <w:shd w:val="clear" w:color="auto" w:fill="FFFFFF"/>
        <w:ind w:left="225"/>
        <w:rPr>
          <w:rFonts w:eastAsia="Times New Roman" w:cs="Times New Roman"/>
          <w:color w:val="000000"/>
        </w:rPr>
      </w:pPr>
    </w:p>
    <w:p w14:paraId="499A6C98" w14:textId="77777777" w:rsidR="006B3DEA" w:rsidRPr="006B3DEA" w:rsidRDefault="006B3DEA" w:rsidP="006B3DE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Explore creative and practical approaches to listening, appraising, composing and performing to make key terms and concepts easier to learn.  ​</w:t>
      </w:r>
    </w:p>
    <w:p w14:paraId="4444EF0A" w14:textId="77777777" w:rsidR="006B3DEA" w:rsidRPr="006B3DEA" w:rsidRDefault="006B3DEA" w:rsidP="006B3DE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000000"/>
        </w:rPr>
      </w:pPr>
      <w:proofErr w:type="spellStart"/>
      <w:r w:rsidRPr="006B3DEA">
        <w:rPr>
          <w:rFonts w:eastAsia="Times New Roman" w:cs="Times New Roman"/>
          <w:color w:val="000000"/>
        </w:rPr>
        <w:t>Analyse</w:t>
      </w:r>
      <w:proofErr w:type="spellEnd"/>
      <w:r w:rsidRPr="006B3DEA">
        <w:rPr>
          <w:rFonts w:eastAsia="Times New Roman" w:cs="Times New Roman"/>
          <w:color w:val="000000"/>
        </w:rPr>
        <w:t>/understand music using performing and composing activities related to GCSE set works.</w:t>
      </w:r>
    </w:p>
    <w:p w14:paraId="23933B16" w14:textId="77777777" w:rsidR="006B3DEA" w:rsidRPr="006B3DEA" w:rsidRDefault="006B3DEA" w:rsidP="006B3DE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Develop tools to increase student skill and confidence with improvising and composing.</w:t>
      </w:r>
    </w:p>
    <w:p w14:paraId="2D45962A" w14:textId="77777777" w:rsidR="006B3DEA" w:rsidRPr="006B3DEA" w:rsidRDefault="006B3DEA" w:rsidP="006B3DE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Share ideas and resources to make GCSE music vital, practical and engaging.</w:t>
      </w:r>
    </w:p>
    <w:p w14:paraId="7A10F5EF" w14:textId="320A39FB" w:rsidR="00B448D3" w:rsidRPr="00F45534" w:rsidRDefault="00B448D3" w:rsidP="00F45534">
      <w:pPr>
        <w:shd w:val="clear" w:color="auto" w:fill="FFFFFF"/>
        <w:rPr>
          <w:rFonts w:eastAsia="Times New Roman" w:cs="Times New Roman"/>
          <w:color w:val="000000"/>
        </w:rPr>
      </w:pPr>
    </w:p>
    <w:p w14:paraId="59A7B980" w14:textId="77777777" w:rsidR="006B3DEA" w:rsidRPr="006B3DEA" w:rsidRDefault="006B3DEA" w:rsidP="006B3DEA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B3DEA">
        <w:rPr>
          <w:rFonts w:eastAsia="Times New Roman" w:cs="Times New Roman"/>
          <w:b/>
          <w:bCs/>
          <w:color w:val="000000"/>
          <w:sz w:val="28"/>
          <w:szCs w:val="28"/>
        </w:rPr>
        <w:t>Sessions</w:t>
      </w:r>
    </w:p>
    <w:p w14:paraId="7D03FCA8" w14:textId="77777777" w:rsidR="006B3DEA" w:rsidRPr="006B3DEA" w:rsidRDefault="006B3DEA" w:rsidP="006B3DEA">
      <w:pPr>
        <w:shd w:val="clear" w:color="auto" w:fill="FFFFFF"/>
        <w:rPr>
          <w:rFonts w:cs="Times New Roman"/>
          <w:b/>
          <w:bCs/>
          <w:color w:val="000000"/>
        </w:rPr>
      </w:pPr>
    </w:p>
    <w:p w14:paraId="12845984" w14:textId="77777777" w:rsidR="006B3DEA" w:rsidRPr="006B3DEA" w:rsidRDefault="006B3DEA" w:rsidP="006B3DEA">
      <w:pPr>
        <w:shd w:val="clear" w:color="auto" w:fill="FFFFFF"/>
        <w:rPr>
          <w:rFonts w:cs="Times New Roman"/>
          <w:color w:val="000000"/>
        </w:rPr>
      </w:pPr>
      <w:r w:rsidRPr="006B3DEA">
        <w:rPr>
          <w:rFonts w:cs="Times New Roman"/>
          <w:b/>
          <w:bCs/>
          <w:color w:val="000000"/>
        </w:rPr>
        <w:t xml:space="preserve">Start </w:t>
      </w:r>
      <w:proofErr w:type="gramStart"/>
      <w:r w:rsidRPr="006B3DEA">
        <w:rPr>
          <w:rFonts w:cs="Times New Roman"/>
          <w:b/>
          <w:bCs/>
          <w:color w:val="000000"/>
        </w:rPr>
        <w:t>With</w:t>
      </w:r>
      <w:proofErr w:type="gramEnd"/>
      <w:r w:rsidRPr="006B3DEA">
        <w:rPr>
          <w:rFonts w:cs="Times New Roman"/>
          <w:b/>
          <w:bCs/>
          <w:color w:val="000000"/>
        </w:rPr>
        <w:t xml:space="preserve"> A Set Work – Performance</w:t>
      </w:r>
    </w:p>
    <w:p w14:paraId="7A6AD3A6" w14:textId="77777777" w:rsidR="006B3DEA" w:rsidRPr="00F45534" w:rsidRDefault="006B3DEA" w:rsidP="00F4553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Exploring a GCSE set work to examine specific musical features as a basis for classroom performance</w:t>
      </w:r>
    </w:p>
    <w:p w14:paraId="6F467812" w14:textId="77777777" w:rsidR="006B3DEA" w:rsidRPr="00F45534" w:rsidRDefault="006B3DEA" w:rsidP="00F4553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Developing student knowledge and understanding of key musical concepts through classroom performance.</w:t>
      </w:r>
    </w:p>
    <w:p w14:paraId="30951787" w14:textId="77777777" w:rsidR="00F45534" w:rsidRDefault="00F45534" w:rsidP="006B3DEA">
      <w:pPr>
        <w:shd w:val="clear" w:color="auto" w:fill="FFFFFF"/>
        <w:rPr>
          <w:rFonts w:cs="Times New Roman"/>
          <w:b/>
          <w:bCs/>
          <w:color w:val="000000"/>
        </w:rPr>
      </w:pPr>
    </w:p>
    <w:p w14:paraId="7D79329C" w14:textId="09FFACCE" w:rsidR="006B3DEA" w:rsidRPr="006B3DEA" w:rsidRDefault="006B3DEA" w:rsidP="006B3DEA">
      <w:pPr>
        <w:shd w:val="clear" w:color="auto" w:fill="FFFFFF"/>
        <w:rPr>
          <w:rFonts w:cs="Times New Roman"/>
          <w:color w:val="000000"/>
        </w:rPr>
      </w:pPr>
      <w:r w:rsidRPr="006B3DEA">
        <w:rPr>
          <w:rFonts w:cs="Times New Roman"/>
          <w:b/>
          <w:bCs/>
          <w:color w:val="000000"/>
        </w:rPr>
        <w:t xml:space="preserve">Start </w:t>
      </w:r>
      <w:proofErr w:type="gramStart"/>
      <w:r w:rsidRPr="006B3DEA">
        <w:rPr>
          <w:rFonts w:cs="Times New Roman"/>
          <w:b/>
          <w:bCs/>
          <w:color w:val="000000"/>
        </w:rPr>
        <w:t>With</w:t>
      </w:r>
      <w:proofErr w:type="gramEnd"/>
      <w:r w:rsidRPr="006B3DEA">
        <w:rPr>
          <w:rFonts w:cs="Times New Roman"/>
          <w:b/>
          <w:bCs/>
          <w:color w:val="000000"/>
        </w:rPr>
        <w:t xml:space="preserve"> A Set Work – Composition</w:t>
      </w:r>
    </w:p>
    <w:p w14:paraId="2D97966A" w14:textId="77777777" w:rsidR="006B3DEA" w:rsidRPr="00F45534" w:rsidRDefault="006B3DEA" w:rsidP="00F45534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Exploring a set work (examples from all major examination boards available) to identify key features typical of a style or genre as a stimulus for student composition.</w:t>
      </w:r>
    </w:p>
    <w:p w14:paraId="4192502A" w14:textId="3B081DCD" w:rsidR="006B3DEA" w:rsidRPr="00F45534" w:rsidRDefault="006B3DEA" w:rsidP="006B3DEA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lastRenderedPageBreak/>
        <w:t>Identifying strategies to assist students with composing using improvisation to collaboratively create and compose new works that reflect the key features of a style or genre.</w:t>
      </w:r>
    </w:p>
    <w:p w14:paraId="56D689C8" w14:textId="77777777" w:rsidR="006B3DEA" w:rsidRPr="006B3DEA" w:rsidRDefault="006B3DEA" w:rsidP="006B3DEA">
      <w:pPr>
        <w:shd w:val="clear" w:color="auto" w:fill="FFFFFF"/>
        <w:rPr>
          <w:rFonts w:cs="Times New Roman"/>
          <w:color w:val="000000"/>
        </w:rPr>
      </w:pPr>
      <w:r w:rsidRPr="006B3DEA">
        <w:rPr>
          <w:rFonts w:cs="Times New Roman"/>
          <w:b/>
          <w:bCs/>
          <w:color w:val="000000"/>
        </w:rPr>
        <w:t>Composing and Improvising</w:t>
      </w:r>
    </w:p>
    <w:p w14:paraId="7F709B17" w14:textId="77777777" w:rsidR="006B3DEA" w:rsidRPr="00F45534" w:rsidRDefault="006B3DEA" w:rsidP="00F45534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Ideas and resources to connect listening and composing briefs</w:t>
      </w:r>
    </w:p>
    <w:p w14:paraId="1DFAAE9A" w14:textId="77777777" w:rsidR="006B3DEA" w:rsidRPr="00F45534" w:rsidRDefault="006B3DEA" w:rsidP="00F45534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Using a rhythmic groove as a starting point.</w:t>
      </w:r>
    </w:p>
    <w:p w14:paraId="35091D7E" w14:textId="77777777" w:rsidR="006B3DEA" w:rsidRPr="00F45534" w:rsidRDefault="006B3DEA" w:rsidP="00F45534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Developing melodic ideas by adding instrumental lines</w:t>
      </w:r>
    </w:p>
    <w:p w14:paraId="39BD328E" w14:textId="77777777" w:rsidR="006B3DEA" w:rsidRPr="00F45534" w:rsidRDefault="006B3DEA" w:rsidP="00F45534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Exploring structure, texture, complimentary chords and other musical features to develop compositions further.</w:t>
      </w:r>
    </w:p>
    <w:p w14:paraId="251A39D2" w14:textId="77777777" w:rsidR="006B3DEA" w:rsidRPr="006B3DEA" w:rsidRDefault="006B3DEA" w:rsidP="006B3DEA">
      <w:pPr>
        <w:shd w:val="clear" w:color="auto" w:fill="FFFFFF"/>
        <w:rPr>
          <w:rFonts w:cs="Times New Roman"/>
          <w:b/>
          <w:bCs/>
          <w:color w:val="000000"/>
        </w:rPr>
      </w:pPr>
    </w:p>
    <w:p w14:paraId="2A494BE0" w14:textId="77777777" w:rsidR="006B3DEA" w:rsidRPr="006B3DEA" w:rsidRDefault="006B3DEA" w:rsidP="006B3DEA">
      <w:pPr>
        <w:shd w:val="clear" w:color="auto" w:fill="FFFFFF"/>
        <w:rPr>
          <w:rFonts w:cs="Times New Roman"/>
          <w:color w:val="000000"/>
        </w:rPr>
      </w:pPr>
      <w:r w:rsidRPr="006B3DEA">
        <w:rPr>
          <w:rFonts w:cs="Times New Roman"/>
          <w:b/>
          <w:bCs/>
          <w:color w:val="000000"/>
        </w:rPr>
        <w:t>Songwriting – Applying creative skills to a task</w:t>
      </w:r>
    </w:p>
    <w:p w14:paraId="58F0A57E" w14:textId="77777777" w:rsidR="006B3DEA" w:rsidRPr="00F45534" w:rsidRDefault="006B3DEA" w:rsidP="00F45534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Exploring a series of starting points for songwriting​</w:t>
      </w:r>
    </w:p>
    <w:p w14:paraId="2309B9CD" w14:textId="77777777" w:rsidR="006B3DEA" w:rsidRPr="00F45534" w:rsidRDefault="006B3DEA" w:rsidP="00F45534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Using a variety of approaches, practical activities and resources to support your students with the songwriting process!</w:t>
      </w:r>
    </w:p>
    <w:p w14:paraId="7A28E99A" w14:textId="77777777" w:rsidR="006B3DEA" w:rsidRPr="006B3DEA" w:rsidRDefault="006B3DEA" w:rsidP="006B3DEA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</w:rPr>
      </w:pPr>
    </w:p>
    <w:p w14:paraId="4729BDF2" w14:textId="77777777" w:rsidR="006B3DEA" w:rsidRPr="006B3DEA" w:rsidRDefault="006B3DEA" w:rsidP="006B3DEA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B3DEA">
        <w:rPr>
          <w:rFonts w:eastAsia="Times New Roman" w:cs="Times New Roman"/>
          <w:b/>
          <w:bCs/>
          <w:color w:val="000000"/>
          <w:sz w:val="28"/>
          <w:szCs w:val="28"/>
        </w:rPr>
        <w:t>Who is it for?</w:t>
      </w:r>
    </w:p>
    <w:p w14:paraId="2768C9E7" w14:textId="326CF402" w:rsidR="006B3DEA" w:rsidRPr="006B3DEA" w:rsidRDefault="006B3DEA" w:rsidP="006B3DEA">
      <w:pPr>
        <w:shd w:val="clear" w:color="auto" w:fill="FFFFFF"/>
        <w:rPr>
          <w:rFonts w:cs="Times New Roman"/>
          <w:color w:val="000000"/>
        </w:rPr>
      </w:pPr>
      <w:r w:rsidRPr="006B3DEA">
        <w:rPr>
          <w:rFonts w:cs="Times New Roman"/>
          <w:color w:val="000000"/>
        </w:rPr>
        <w:t>Th</w:t>
      </w:r>
      <w:r w:rsidR="00F45534">
        <w:rPr>
          <w:rFonts w:cs="Times New Roman"/>
          <w:color w:val="000000"/>
        </w:rPr>
        <w:t>e</w:t>
      </w:r>
      <w:r w:rsidRPr="006B3DEA">
        <w:rPr>
          <w:rFonts w:cs="Times New Roman"/>
          <w:color w:val="000000"/>
        </w:rPr>
        <w:t xml:space="preserve"> course is particularly suited to teachers who are interested in exploring practical approaches to teaching music at examination </w:t>
      </w:r>
      <w:proofErr w:type="gramStart"/>
      <w:r w:rsidRPr="006B3DEA">
        <w:rPr>
          <w:rFonts w:cs="Times New Roman"/>
          <w:color w:val="000000"/>
        </w:rPr>
        <w:t>level, but</w:t>
      </w:r>
      <w:proofErr w:type="gramEnd"/>
      <w:r w:rsidRPr="006B3DEA">
        <w:rPr>
          <w:rFonts w:cs="Times New Roman"/>
          <w:color w:val="000000"/>
        </w:rPr>
        <w:t xml:space="preserve"> is equally suitable anyone seeking ideas and inspiration for composition and improvisation.</w:t>
      </w:r>
    </w:p>
    <w:p w14:paraId="7A16665A" w14:textId="77777777" w:rsidR="006B3DEA" w:rsidRPr="00F45534" w:rsidRDefault="006B3DEA" w:rsidP="00F45534">
      <w:pPr>
        <w:pStyle w:val="ListParagraph"/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Heads of Music</w:t>
      </w:r>
    </w:p>
    <w:p w14:paraId="486176D1" w14:textId="77777777" w:rsidR="006B3DEA" w:rsidRPr="00F45534" w:rsidRDefault="006B3DEA" w:rsidP="00F45534">
      <w:pPr>
        <w:pStyle w:val="ListParagraph"/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Secondary Music specialists</w:t>
      </w:r>
    </w:p>
    <w:p w14:paraId="5E180DF6" w14:textId="77777777" w:rsidR="006B3DEA" w:rsidRPr="00F45534" w:rsidRDefault="006B3DEA" w:rsidP="00F45534">
      <w:pPr>
        <w:pStyle w:val="ListParagraph"/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Classroom music teachers</w:t>
      </w:r>
    </w:p>
    <w:p w14:paraId="5BDC6EA2" w14:textId="77777777" w:rsidR="006B3DEA" w:rsidRPr="00F45534" w:rsidRDefault="006B3DEA" w:rsidP="00F45534">
      <w:pPr>
        <w:pStyle w:val="ListParagraph"/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Instrumental teachers</w:t>
      </w:r>
    </w:p>
    <w:p w14:paraId="328D15A5" w14:textId="77777777" w:rsidR="006B3DEA" w:rsidRPr="00F45534" w:rsidRDefault="006B3DEA" w:rsidP="00F45534">
      <w:pPr>
        <w:pStyle w:val="ListParagraph"/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Trainee music teachers</w:t>
      </w:r>
    </w:p>
    <w:p w14:paraId="698417C8" w14:textId="77777777" w:rsidR="006B3DEA" w:rsidRPr="00F45534" w:rsidRDefault="006B3DEA" w:rsidP="00F45534">
      <w:pPr>
        <w:pStyle w:val="ListParagraph"/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</w:rPr>
      </w:pPr>
      <w:r w:rsidRPr="00F45534">
        <w:rPr>
          <w:rFonts w:eastAsia="Times New Roman" w:cs="Times New Roman"/>
          <w:color w:val="000000"/>
        </w:rPr>
        <w:t>Newly Qualified music teachers</w:t>
      </w:r>
    </w:p>
    <w:p w14:paraId="3F5D7580" w14:textId="77777777" w:rsidR="006B3DEA" w:rsidRPr="006B3DEA" w:rsidRDefault="006B3DEA" w:rsidP="00F45534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</w:rPr>
      </w:pPr>
    </w:p>
    <w:p w14:paraId="0B914061" w14:textId="77777777" w:rsidR="006B3DEA" w:rsidRPr="006B3DEA" w:rsidRDefault="006B3DEA" w:rsidP="006B3DEA">
      <w:pPr>
        <w:pBdr>
          <w:bottom w:val="single" w:sz="12" w:space="6" w:color="000000"/>
        </w:pBdr>
        <w:shd w:val="clear" w:color="auto" w:fill="FFFFFF"/>
        <w:spacing w:line="375" w:lineRule="atLeast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B3DEA">
        <w:rPr>
          <w:rFonts w:eastAsia="Times New Roman" w:cs="Times New Roman"/>
          <w:b/>
          <w:bCs/>
          <w:color w:val="000000"/>
          <w:sz w:val="28"/>
          <w:szCs w:val="28"/>
        </w:rPr>
        <w:t>What's included?</w:t>
      </w:r>
    </w:p>
    <w:p w14:paraId="1379450A" w14:textId="6CD227E3" w:rsidR="006B3DEA" w:rsidRPr="006B3DEA" w:rsidRDefault="00F45534" w:rsidP="006B3DEA">
      <w:pPr>
        <w:numPr>
          <w:ilvl w:val="0"/>
          <w:numId w:val="13"/>
        </w:numPr>
        <w:shd w:val="clear" w:color="auto" w:fill="FFFFFF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</w:t>
      </w:r>
      <w:r w:rsidR="006B3DEA" w:rsidRPr="006B3DEA">
        <w:rPr>
          <w:rFonts w:eastAsia="Times New Roman" w:cs="Times New Roman"/>
          <w:color w:val="000000"/>
        </w:rPr>
        <w:t xml:space="preserve">uidance notes </w:t>
      </w:r>
      <w:r>
        <w:rPr>
          <w:rFonts w:eastAsia="Times New Roman" w:cs="Times New Roman"/>
          <w:color w:val="000000"/>
        </w:rPr>
        <w:t xml:space="preserve">for ‘Start </w:t>
      </w:r>
      <w:proofErr w:type="gramStart"/>
      <w:r>
        <w:rPr>
          <w:rFonts w:eastAsia="Times New Roman" w:cs="Times New Roman"/>
          <w:color w:val="000000"/>
        </w:rPr>
        <w:t>With</w:t>
      </w:r>
      <w:proofErr w:type="gramEnd"/>
      <w:r>
        <w:rPr>
          <w:rFonts w:eastAsia="Times New Roman" w:cs="Times New Roman"/>
          <w:color w:val="000000"/>
        </w:rPr>
        <w:t xml:space="preserve"> A Set Work’ practical activities </w:t>
      </w:r>
    </w:p>
    <w:p w14:paraId="2E5A4A2E" w14:textId="12A60033" w:rsidR="006B3DEA" w:rsidRPr="006B3DEA" w:rsidRDefault="00F45534" w:rsidP="006B3DEA">
      <w:pPr>
        <w:numPr>
          <w:ilvl w:val="0"/>
          <w:numId w:val="13"/>
        </w:numPr>
        <w:shd w:val="clear" w:color="auto" w:fill="FFFFFF"/>
        <w:ind w:left="225"/>
        <w:rPr>
          <w:rFonts w:eastAsia="Times New Roman" w:cs="Times New Roman"/>
          <w:color w:val="000000"/>
        </w:rPr>
      </w:pPr>
      <w:hyperlink r:id="rId6" w:history="1">
        <w:r w:rsidR="006B3DEA" w:rsidRPr="006B3DEA">
          <w:rPr>
            <w:rFonts w:eastAsia="Times New Roman" w:cs="Times New Roman"/>
            <w:color w:val="0000FF"/>
            <w:u w:val="single"/>
          </w:rPr>
          <w:t>Musical Futures Son</w:t>
        </w:r>
        <w:r w:rsidR="006B3DEA" w:rsidRPr="006B3DEA">
          <w:rPr>
            <w:rFonts w:eastAsia="Times New Roman" w:cs="Times New Roman"/>
            <w:color w:val="0000FF"/>
            <w:u w:val="single"/>
          </w:rPr>
          <w:t>g</w:t>
        </w:r>
        <w:r w:rsidR="006B3DEA" w:rsidRPr="006B3DEA">
          <w:rPr>
            <w:rFonts w:eastAsia="Times New Roman" w:cs="Times New Roman"/>
            <w:color w:val="0000FF"/>
            <w:u w:val="single"/>
          </w:rPr>
          <w:t>writing</w:t>
        </w:r>
      </w:hyperlink>
      <w:r w:rsidR="006B3DEA" w:rsidRPr="006B3DEA">
        <w:rPr>
          <w:rFonts w:eastAsia="Times New Roman" w:cs="Times New Roman"/>
          <w:color w:val="000000"/>
        </w:rPr>
        <w:t> resource</w:t>
      </w:r>
    </w:p>
    <w:p w14:paraId="58DC8D5E" w14:textId="244E5F83" w:rsidR="006B3DEA" w:rsidRPr="006B3DEA" w:rsidRDefault="006B3DEA" w:rsidP="006B3DEA">
      <w:pPr>
        <w:numPr>
          <w:ilvl w:val="0"/>
          <w:numId w:val="13"/>
        </w:numPr>
        <w:shd w:val="clear" w:color="auto" w:fill="FFFFFF"/>
        <w:ind w:left="225"/>
        <w:rPr>
          <w:rFonts w:eastAsia="Times New Roman" w:cs="Times New Roman"/>
          <w:color w:val="000000"/>
        </w:rPr>
      </w:pPr>
      <w:r w:rsidRPr="006B3DEA">
        <w:rPr>
          <w:rFonts w:eastAsia="Times New Roman" w:cs="Times New Roman"/>
          <w:color w:val="000000"/>
        </w:rPr>
        <w:t>Your choice of</w:t>
      </w:r>
      <w:r w:rsidR="00F45534">
        <w:rPr>
          <w:rFonts w:eastAsia="Times New Roman" w:cs="Times New Roman"/>
          <w:color w:val="000000"/>
        </w:rPr>
        <w:t xml:space="preserve"> 2 x</w:t>
      </w:r>
      <w:r w:rsidRPr="006B3DEA">
        <w:rPr>
          <w:rFonts w:eastAsia="Times New Roman" w:cs="Times New Roman"/>
          <w:color w:val="000000"/>
        </w:rPr>
        <w:t> </w:t>
      </w:r>
      <w:r w:rsidR="00F45534">
        <w:rPr>
          <w:rFonts w:eastAsia="Times New Roman" w:cs="Times New Roman"/>
          <w:color w:val="0000FF"/>
          <w:u w:val="single"/>
        </w:rPr>
        <w:fldChar w:fldCharType="begin"/>
      </w:r>
      <w:r w:rsidR="00F45534">
        <w:rPr>
          <w:rFonts w:eastAsia="Times New Roman" w:cs="Times New Roman"/>
          <w:color w:val="0000FF"/>
          <w:u w:val="single"/>
        </w:rPr>
        <w:instrText xml:space="preserve"> HYPERLINK "https://www.musicalfutures.org/resource-type/gcse-set-works" </w:instrText>
      </w:r>
      <w:r w:rsidR="00F45534">
        <w:rPr>
          <w:rFonts w:eastAsia="Times New Roman" w:cs="Times New Roman"/>
          <w:color w:val="0000FF"/>
          <w:u w:val="single"/>
        </w:rPr>
      </w:r>
      <w:r w:rsidR="00F45534">
        <w:rPr>
          <w:rFonts w:eastAsia="Times New Roman" w:cs="Times New Roman"/>
          <w:color w:val="0000FF"/>
          <w:u w:val="single"/>
        </w:rPr>
        <w:fldChar w:fldCharType="separate"/>
      </w:r>
      <w:r w:rsidRPr="00F45534">
        <w:rPr>
          <w:rStyle w:val="Hyperlink"/>
          <w:rFonts w:eastAsia="Times New Roman" w:cs="Times New Roman"/>
        </w:rPr>
        <w:t xml:space="preserve">GCSE set work </w:t>
      </w:r>
      <w:proofErr w:type="spellStart"/>
      <w:r w:rsidRPr="00F45534">
        <w:rPr>
          <w:rStyle w:val="Hyperlink"/>
          <w:rFonts w:eastAsia="Times New Roman" w:cs="Times New Roman"/>
        </w:rPr>
        <w:t>playalong</w:t>
      </w:r>
      <w:proofErr w:type="spellEnd"/>
      <w:r w:rsidRPr="00F45534">
        <w:rPr>
          <w:rStyle w:val="Hyperlink"/>
          <w:rFonts w:eastAsia="Times New Roman" w:cs="Times New Roman"/>
        </w:rPr>
        <w:t> </w:t>
      </w:r>
      <w:r w:rsidR="00F45534">
        <w:rPr>
          <w:rFonts w:eastAsia="Times New Roman" w:cs="Times New Roman"/>
          <w:color w:val="0000FF"/>
          <w:u w:val="single"/>
        </w:rPr>
        <w:fldChar w:fldCharType="end"/>
      </w:r>
      <w:r w:rsidRPr="006B3DEA">
        <w:rPr>
          <w:rFonts w:eastAsia="Times New Roman" w:cs="Times New Roman"/>
          <w:color w:val="000000"/>
        </w:rPr>
        <w:t>(options from all exam board specifications available)</w:t>
      </w:r>
    </w:p>
    <w:p w14:paraId="7A8BD29A" w14:textId="77777777" w:rsidR="006C6DED" w:rsidRPr="006B3DEA" w:rsidRDefault="00F45534" w:rsidP="006B3DEA">
      <w:pPr>
        <w:jc w:val="both"/>
      </w:pPr>
    </w:p>
    <w:sectPr w:rsidR="006C6DED" w:rsidRPr="006B3DEA" w:rsidSect="00E81F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C3"/>
    <w:multiLevelType w:val="multilevel"/>
    <w:tmpl w:val="B87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A7E5A"/>
    <w:multiLevelType w:val="multilevel"/>
    <w:tmpl w:val="2086355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B71D1"/>
    <w:multiLevelType w:val="hybridMultilevel"/>
    <w:tmpl w:val="3D24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00ADD"/>
    <w:multiLevelType w:val="multilevel"/>
    <w:tmpl w:val="FBC665E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95D6A"/>
    <w:multiLevelType w:val="hybridMultilevel"/>
    <w:tmpl w:val="01EC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15168"/>
    <w:multiLevelType w:val="multilevel"/>
    <w:tmpl w:val="7F5A48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A1"/>
    <w:multiLevelType w:val="hybridMultilevel"/>
    <w:tmpl w:val="558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E5A"/>
    <w:multiLevelType w:val="hybridMultilevel"/>
    <w:tmpl w:val="4C14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B32BA"/>
    <w:multiLevelType w:val="multilevel"/>
    <w:tmpl w:val="96F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E4045"/>
    <w:multiLevelType w:val="hybridMultilevel"/>
    <w:tmpl w:val="1EA6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007D"/>
    <w:multiLevelType w:val="multilevel"/>
    <w:tmpl w:val="C8F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A2758"/>
    <w:multiLevelType w:val="multilevel"/>
    <w:tmpl w:val="1FE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A45E7"/>
    <w:multiLevelType w:val="hybridMultilevel"/>
    <w:tmpl w:val="0668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240E6"/>
    <w:multiLevelType w:val="multilevel"/>
    <w:tmpl w:val="114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8263A"/>
    <w:multiLevelType w:val="hybridMultilevel"/>
    <w:tmpl w:val="95964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73241"/>
    <w:multiLevelType w:val="multilevel"/>
    <w:tmpl w:val="2B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263DA"/>
    <w:multiLevelType w:val="multilevel"/>
    <w:tmpl w:val="F77E3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C0557D8"/>
    <w:multiLevelType w:val="multilevel"/>
    <w:tmpl w:val="680899B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066D3"/>
    <w:multiLevelType w:val="hybridMultilevel"/>
    <w:tmpl w:val="DA24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103AE4"/>
    <w:multiLevelType w:val="multilevel"/>
    <w:tmpl w:val="D46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40075"/>
    <w:multiLevelType w:val="multilevel"/>
    <w:tmpl w:val="4CB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996186"/>
    <w:multiLevelType w:val="multilevel"/>
    <w:tmpl w:val="23B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1"/>
  </w:num>
  <w:num w:numId="5">
    <w:abstractNumId w:val="1"/>
  </w:num>
  <w:num w:numId="6">
    <w:abstractNumId w:val="3"/>
  </w:num>
  <w:num w:numId="7">
    <w:abstractNumId w:val="20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  <w:num w:numId="19">
    <w:abstractNumId w:val="18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B5"/>
    <w:rsid w:val="000D793E"/>
    <w:rsid w:val="004910C3"/>
    <w:rsid w:val="004B503B"/>
    <w:rsid w:val="006B3DEA"/>
    <w:rsid w:val="007771BC"/>
    <w:rsid w:val="007C536C"/>
    <w:rsid w:val="00AC01B5"/>
    <w:rsid w:val="00AE0CDC"/>
    <w:rsid w:val="00B448D3"/>
    <w:rsid w:val="00E81F61"/>
    <w:rsid w:val="00F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7E6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01B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1B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1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01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0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3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D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4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alfutures.org/resource/songwriting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>Steps to Success in GCSE Music: Nottingham</vt:lpstr>
      <vt:lpstr>    Overview</vt:lpstr>
      <vt:lpstr>    Aims of the course</vt:lpstr>
      <vt:lpstr>    Sessions</vt:lpstr>
      <vt:lpstr>    </vt:lpstr>
      <vt:lpstr>    Who is it for?</vt:lpstr>
      <vt:lpstr>    </vt:lpstr>
      <vt:lpstr>    What's included?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Hannan</dc:creator>
  <cp:keywords/>
  <dc:description/>
  <cp:lastModifiedBy>Fran Hannan</cp:lastModifiedBy>
  <cp:revision>2</cp:revision>
  <cp:lastPrinted>2018-01-11T08:22:00Z</cp:lastPrinted>
  <dcterms:created xsi:type="dcterms:W3CDTF">2018-12-13T11:18:00Z</dcterms:created>
  <dcterms:modified xsi:type="dcterms:W3CDTF">2018-12-13T11:18:00Z</dcterms:modified>
</cp:coreProperties>
</file>